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00" w:rsidRPr="001935CD" w:rsidRDefault="00E85200" w:rsidP="00E85200">
      <w:pPr>
        <w:jc w:val="center"/>
        <w:rPr>
          <w:rFonts w:ascii="MyriadMM-It_565_600_" w:hAnsi="MyriadMM-It_565_600_"/>
          <w:b/>
          <w:color w:val="4F6228" w:themeColor="accent3" w:themeShade="80"/>
          <w:sz w:val="40"/>
          <w:szCs w:val="40"/>
        </w:rPr>
      </w:pPr>
      <w:r w:rsidRPr="001935CD">
        <w:rPr>
          <w:rFonts w:ascii="MyriadMM-It_565_600_" w:hAnsi="MyriadMM-It_565_600_"/>
          <w:b/>
          <w:color w:val="4F6228" w:themeColor="accent3" w:themeShade="80"/>
          <w:sz w:val="40"/>
          <w:szCs w:val="40"/>
        </w:rPr>
        <w:t xml:space="preserve">Fiche </w:t>
      </w:r>
      <w:r>
        <w:rPr>
          <w:rFonts w:ascii="MyriadMM-It_565_600_" w:hAnsi="MyriadMM-It_565_600_"/>
          <w:b/>
          <w:color w:val="4F6228" w:themeColor="accent3" w:themeShade="80"/>
          <w:sz w:val="40"/>
          <w:szCs w:val="40"/>
        </w:rPr>
        <w:t>8</w:t>
      </w:r>
    </w:p>
    <w:p w:rsidR="00E85200" w:rsidRDefault="00E85200" w:rsidP="00E85200">
      <w:pPr>
        <w:jc w:val="center"/>
        <w:rPr>
          <w:rFonts w:ascii="MyriadMM-It_565_600_" w:hAnsi="MyriadMM-It_565_600_"/>
          <w:b/>
          <w:color w:val="76923C" w:themeColor="accent3" w:themeShade="BF"/>
          <w:sz w:val="28"/>
          <w:szCs w:val="30"/>
        </w:rPr>
      </w:pPr>
      <w:r>
        <w:rPr>
          <w:rFonts w:ascii="MyriadMM-It_565_600_" w:hAnsi="MyriadMM-It_565_600_"/>
          <w:b/>
          <w:color w:val="76923C" w:themeColor="accent3" w:themeShade="BF"/>
          <w:sz w:val="28"/>
          <w:szCs w:val="30"/>
        </w:rPr>
        <w:t>Le vol</w:t>
      </w:r>
      <w:r w:rsidRPr="009A7DBE">
        <w:rPr>
          <w:rFonts w:ascii="MyriadMM-It_565_600_" w:hAnsi="MyriadMM-It_565_600_"/>
          <w:b/>
          <w:color w:val="76923C" w:themeColor="accent3" w:themeShade="BF"/>
          <w:sz w:val="28"/>
          <w:szCs w:val="30"/>
        </w:rPr>
        <w:t>,</w:t>
      </w:r>
      <w:r>
        <w:rPr>
          <w:rFonts w:ascii="MyriadMM-It_565_600_" w:hAnsi="MyriadMM-It_565_600_"/>
          <w:b/>
          <w:color w:val="76923C" w:themeColor="accent3" w:themeShade="BF"/>
          <w:sz w:val="28"/>
          <w:szCs w:val="30"/>
        </w:rPr>
        <w:t xml:space="preserve"> </w:t>
      </w:r>
      <w:r w:rsidRPr="009A7DBE">
        <w:rPr>
          <w:rFonts w:ascii="MyriadMM-It_565_600_" w:hAnsi="MyriadMM-It_565_600_"/>
          <w:b/>
          <w:color w:val="76923C" w:themeColor="accent3" w:themeShade="BF"/>
          <w:sz w:val="28"/>
          <w:szCs w:val="30"/>
        </w:rPr>
        <w:t>le changement de résidence, la succession</w:t>
      </w:r>
    </w:p>
    <w:p w:rsidR="00E85200" w:rsidRPr="0015527E" w:rsidRDefault="00E85200" w:rsidP="00E85200">
      <w:pPr>
        <w:rPr>
          <w:rFonts w:ascii="MyriadMM-It_565_600_" w:hAnsi="MyriadMM-It_565_600_"/>
          <w:b/>
          <w:sz w:val="20"/>
        </w:rPr>
      </w:pPr>
    </w:p>
    <w:p w:rsidR="00E85200" w:rsidRPr="009A7DBE" w:rsidRDefault="00E85200" w:rsidP="00E85200">
      <w:pPr>
        <w:jc w:val="both"/>
        <w:rPr>
          <w:rFonts w:ascii="MyriadMM-It_565_600_" w:hAnsi="MyriadMM-It_565_600_"/>
        </w:rPr>
      </w:pPr>
      <w:r w:rsidRPr="009A7DBE">
        <w:rPr>
          <w:rFonts w:ascii="MyriadMM-It_565_600_" w:hAnsi="MyriadMM-It_565_600_"/>
        </w:rPr>
        <w:t>Le vol ou la perte d’une arme de chasse quelle que soit sa catégorie de classement</w:t>
      </w:r>
      <w:r>
        <w:rPr>
          <w:rFonts w:ascii="MyriadMM-It_565_600_" w:hAnsi="MyriadMM-It_565_600_"/>
        </w:rPr>
        <w:t xml:space="preserve"> </w:t>
      </w:r>
      <w:r w:rsidRPr="009A7DBE">
        <w:rPr>
          <w:rFonts w:ascii="MyriadMM-It_565_600_" w:hAnsi="MyriadMM-It_565_600_"/>
        </w:rPr>
        <w:t>(</w:t>
      </w:r>
      <w:r w:rsidRPr="009A7DBE">
        <w:rPr>
          <w:rFonts w:ascii="MyriadMM-It_565_600_" w:hAnsi="MyriadMM-It_565_600_"/>
          <w:b/>
        </w:rPr>
        <w:t>C</w:t>
      </w:r>
      <w:r>
        <w:rPr>
          <w:rFonts w:ascii="MyriadMM-It_565_600_" w:hAnsi="MyriadMM-It_565_600_"/>
        </w:rPr>
        <w:t xml:space="preserve"> </w:t>
      </w:r>
      <w:r w:rsidRPr="009A7DBE">
        <w:rPr>
          <w:rFonts w:ascii="MyriadMM-It_565_600_" w:hAnsi="MyriadMM-It_565_600_"/>
        </w:rPr>
        <w:t>ou</w:t>
      </w:r>
      <w:r>
        <w:rPr>
          <w:rFonts w:ascii="MyriadMM-It_565_600_" w:hAnsi="MyriadMM-It_565_600_"/>
        </w:rPr>
        <w:t xml:space="preserve"> </w:t>
      </w:r>
      <w:r w:rsidRPr="009A7DBE">
        <w:rPr>
          <w:rFonts w:ascii="MyriadMM-It_565_600_" w:hAnsi="MyriadMM-It_565_600_"/>
          <w:b/>
        </w:rPr>
        <w:t>D1°</w:t>
      </w:r>
      <w:r w:rsidRPr="009A7DBE">
        <w:rPr>
          <w:rFonts w:ascii="MyriadMM-It_565_600_" w:hAnsi="MyriadMM-It_565_600_"/>
        </w:rPr>
        <w:t>)</w:t>
      </w:r>
      <w:r>
        <w:rPr>
          <w:rFonts w:ascii="MyriadMM-It_565_600_" w:hAnsi="MyriadMM-It_565_600_"/>
        </w:rPr>
        <w:t xml:space="preserve"> </w:t>
      </w:r>
      <w:r w:rsidRPr="009A7DBE">
        <w:rPr>
          <w:rFonts w:ascii="MyriadMM-It_565_600_" w:hAnsi="MyriadMM-It_565_600_"/>
        </w:rPr>
        <w:t>doit être signalé dans les plus brefs délais à la gendarmerie ou au commissariat de police du lieu de résidence.</w:t>
      </w:r>
    </w:p>
    <w:p w:rsidR="00E85200" w:rsidRPr="009A7DBE" w:rsidRDefault="00E85200" w:rsidP="00E85200">
      <w:pPr>
        <w:jc w:val="both"/>
        <w:rPr>
          <w:rFonts w:ascii="MyriadMM-It_565_600_" w:hAnsi="MyriadMM-It_565_600_"/>
        </w:rPr>
      </w:pPr>
      <w:r w:rsidRPr="009A7DBE">
        <w:rPr>
          <w:rFonts w:ascii="MyriadMM-It_565_600_" w:hAnsi="MyriadMM-It_565_600_"/>
        </w:rPr>
        <w:t xml:space="preserve">Le changement de domicile à destination d’un autre département doit faire l’objet d’une déclaration à la </w:t>
      </w:r>
      <w:r>
        <w:rPr>
          <w:rFonts w:ascii="MyriadMM-It_565_600_" w:hAnsi="MyriadMM-It_565_600_"/>
        </w:rPr>
        <w:t>préfecture du nouveau lieu de résidence</w:t>
      </w:r>
      <w:r w:rsidRPr="009A7DBE">
        <w:rPr>
          <w:rFonts w:ascii="MyriadMM-It_565_600_" w:hAnsi="MyriadMM-It_565_600_"/>
        </w:rPr>
        <w:t>.</w:t>
      </w:r>
    </w:p>
    <w:p w:rsidR="00E85200" w:rsidRDefault="00E85200" w:rsidP="00E85200">
      <w:pPr>
        <w:jc w:val="both"/>
        <w:rPr>
          <w:rFonts w:ascii="MyriadMM-It_565_600_" w:hAnsi="MyriadMM-It_565_600_"/>
        </w:rPr>
      </w:pPr>
      <w:r w:rsidRPr="009A7DBE">
        <w:rPr>
          <w:rFonts w:ascii="MyriadMM-It_565_600_" w:hAnsi="MyriadMM-It_565_600_"/>
        </w:rPr>
        <w:t>En cas de succession par un destinataire qui n’est ni chasseur ni détenteur d’une licence de tir sportif et si cette personne souhaite conserver l’arme,</w:t>
      </w:r>
      <w:r>
        <w:rPr>
          <w:rFonts w:ascii="MyriadMM-It_565_600_" w:hAnsi="MyriadMM-It_565_600_"/>
        </w:rPr>
        <w:t xml:space="preserve"> </w:t>
      </w:r>
      <w:r w:rsidRPr="009A7DBE">
        <w:rPr>
          <w:rFonts w:ascii="MyriadMM-It_565_600_" w:hAnsi="MyriadMM-It_565_600_"/>
        </w:rPr>
        <w:t>elle devra en faire la déclaration en préfecture et joindre un certificat médical délivré par son médecin traita</w:t>
      </w:r>
      <w:r>
        <w:rPr>
          <w:rFonts w:ascii="MyriadMM-It_565_600_" w:hAnsi="MyriadMM-It_565_600_"/>
        </w:rPr>
        <w:t>nt et datant de moins d’un mois</w:t>
      </w:r>
      <w:r w:rsidRPr="009A7DBE">
        <w:rPr>
          <w:rFonts w:ascii="MyriadMM-It_565_600_" w:hAnsi="MyriadMM-It_565_600_"/>
        </w:rPr>
        <w:t>.</w:t>
      </w:r>
    </w:p>
    <w:p w:rsidR="00E85200" w:rsidRDefault="00E85200" w:rsidP="00E85200">
      <w:pPr>
        <w:jc w:val="both"/>
        <w:rPr>
          <w:rFonts w:ascii="MyriadMM-It_565_600_" w:hAnsi="MyriadMM-It_565_600_"/>
        </w:rPr>
      </w:pPr>
      <w:bookmarkStart w:id="0" w:name="_GoBack"/>
      <w:bookmarkEnd w:id="0"/>
    </w:p>
    <w:p w:rsidR="00E85200" w:rsidRDefault="00E85200" w:rsidP="00E85200">
      <w:pPr>
        <w:jc w:val="both"/>
        <w:rPr>
          <w:rFonts w:ascii="MyriadMM-It_565_600_" w:hAnsi="MyriadMM-It_565_600_"/>
        </w:rPr>
      </w:pPr>
    </w:p>
    <w:p w:rsidR="00E85200" w:rsidRDefault="00E85200" w:rsidP="00E85200">
      <w:pPr>
        <w:jc w:val="both"/>
        <w:rPr>
          <w:rFonts w:ascii="MyriadMM-It_565_600_" w:hAnsi="MyriadMM-It_565_600_"/>
        </w:rPr>
      </w:pPr>
    </w:p>
    <w:p w:rsidR="005755CC" w:rsidRPr="00E85200" w:rsidRDefault="005755CC" w:rsidP="00E85200"/>
    <w:sectPr w:rsidR="005755CC" w:rsidRPr="00E852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E9" w:rsidRDefault="00C955E9" w:rsidP="00C955E9">
      <w:pPr>
        <w:spacing w:after="0" w:line="240" w:lineRule="auto"/>
      </w:pPr>
      <w:r>
        <w:separator/>
      </w:r>
    </w:p>
  </w:endnote>
  <w:endnote w:type="continuationSeparator" w:id="0">
    <w:p w:rsidR="00C955E9" w:rsidRDefault="00C955E9" w:rsidP="00C9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MM-It_565_600_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MM-It_400_600_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E9" w:rsidRDefault="00C955E9" w:rsidP="00C955E9">
      <w:pPr>
        <w:spacing w:after="0" w:line="240" w:lineRule="auto"/>
      </w:pPr>
      <w:r>
        <w:separator/>
      </w:r>
    </w:p>
  </w:footnote>
  <w:footnote w:type="continuationSeparator" w:id="0">
    <w:p w:rsidR="00C955E9" w:rsidRDefault="00C955E9" w:rsidP="00C95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5E9" w:rsidRPr="00C955E9" w:rsidRDefault="00C955E9" w:rsidP="00C955E9">
    <w:pPr>
      <w:pStyle w:val="En-tte"/>
      <w:jc w:val="right"/>
      <w:rPr>
        <w:i/>
      </w:rPr>
    </w:pPr>
    <w:r w:rsidRPr="00C955E9">
      <w:rPr>
        <w:rFonts w:ascii="Garamond" w:hAnsi="Garamond" w:cs="Garamond"/>
        <w:i/>
        <w:sz w:val="24"/>
        <w:szCs w:val="24"/>
      </w:rPr>
      <w:t>R</w:t>
    </w:r>
    <w:r w:rsidRPr="00C955E9">
      <w:rPr>
        <w:rFonts w:ascii="Garamond" w:hAnsi="Garamond" w:cs="Garamond"/>
        <w:i/>
        <w:sz w:val="24"/>
        <w:szCs w:val="24"/>
      </w:rPr>
      <w:t>èglementation sur les armes de chasse entrée en vig</w:t>
    </w:r>
    <w:r w:rsidRPr="00C955E9">
      <w:rPr>
        <w:rFonts w:ascii="Garamond" w:hAnsi="Garamond" w:cs="Garamond"/>
        <w:i/>
        <w:sz w:val="24"/>
        <w:szCs w:val="24"/>
      </w:rPr>
      <w:t>ueur depuis le 6 septembre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6137"/>
    <w:multiLevelType w:val="hybridMultilevel"/>
    <w:tmpl w:val="8BA0000A"/>
    <w:lvl w:ilvl="0" w:tplc="D2EAD510">
      <w:numFmt w:val="bullet"/>
      <w:lvlText w:val="-"/>
      <w:lvlJc w:val="left"/>
      <w:pPr>
        <w:ind w:left="720" w:hanging="360"/>
      </w:pPr>
      <w:rPr>
        <w:rFonts w:ascii="MyriadMM-It_565_600_" w:eastAsiaTheme="minorHAnsi" w:hAnsi="MyriadMM-It_565_600_" w:cs="MyriadMM-It_400_600_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77910"/>
    <w:multiLevelType w:val="hybridMultilevel"/>
    <w:tmpl w:val="82CEAA1E"/>
    <w:lvl w:ilvl="0" w:tplc="AABC73A6">
      <w:numFmt w:val="bullet"/>
      <w:lvlText w:val="-"/>
      <w:lvlJc w:val="left"/>
      <w:pPr>
        <w:ind w:left="720" w:hanging="360"/>
      </w:pPr>
      <w:rPr>
        <w:rFonts w:ascii="MyriadMM-It_565_600_" w:eastAsiaTheme="minorHAnsi" w:hAnsi="MyriadMM-It_565_600_" w:cs="MyriadMM-It_400_600_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A5A40"/>
    <w:multiLevelType w:val="hybridMultilevel"/>
    <w:tmpl w:val="0136D376"/>
    <w:lvl w:ilvl="0" w:tplc="E7ECF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26E39"/>
    <w:multiLevelType w:val="hybridMultilevel"/>
    <w:tmpl w:val="FB8CF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E9"/>
    <w:rsid w:val="001140D0"/>
    <w:rsid w:val="002E5382"/>
    <w:rsid w:val="005755CC"/>
    <w:rsid w:val="00590F5F"/>
    <w:rsid w:val="008F562B"/>
    <w:rsid w:val="00B907E2"/>
    <w:rsid w:val="00C86373"/>
    <w:rsid w:val="00C955E9"/>
    <w:rsid w:val="00D8313B"/>
    <w:rsid w:val="00E85200"/>
    <w:rsid w:val="00F1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2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07E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5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55E9"/>
  </w:style>
  <w:style w:type="paragraph" w:styleId="Pieddepage">
    <w:name w:val="footer"/>
    <w:basedOn w:val="Normal"/>
    <w:link w:val="PieddepageCar"/>
    <w:uiPriority w:val="99"/>
    <w:unhideWhenUsed/>
    <w:rsid w:val="00C95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55E9"/>
  </w:style>
  <w:style w:type="paragraph" w:styleId="Textedebulles">
    <w:name w:val="Balloon Text"/>
    <w:basedOn w:val="Normal"/>
    <w:link w:val="TextedebullesCar"/>
    <w:uiPriority w:val="99"/>
    <w:semiHidden/>
    <w:unhideWhenUsed/>
    <w:rsid w:val="00C9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5E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E5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2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07E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5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55E9"/>
  </w:style>
  <w:style w:type="paragraph" w:styleId="Pieddepage">
    <w:name w:val="footer"/>
    <w:basedOn w:val="Normal"/>
    <w:link w:val="PieddepageCar"/>
    <w:uiPriority w:val="99"/>
    <w:unhideWhenUsed/>
    <w:rsid w:val="00C95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55E9"/>
  </w:style>
  <w:style w:type="paragraph" w:styleId="Textedebulles">
    <w:name w:val="Balloon Text"/>
    <w:basedOn w:val="Normal"/>
    <w:link w:val="TextedebullesCar"/>
    <w:uiPriority w:val="99"/>
    <w:semiHidden/>
    <w:unhideWhenUsed/>
    <w:rsid w:val="00C9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5E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E5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RIX</dc:creator>
  <cp:lastModifiedBy>Denis RIX</cp:lastModifiedBy>
  <cp:revision>2</cp:revision>
  <dcterms:created xsi:type="dcterms:W3CDTF">2013-11-29T13:01:00Z</dcterms:created>
  <dcterms:modified xsi:type="dcterms:W3CDTF">2013-11-29T13:01:00Z</dcterms:modified>
</cp:coreProperties>
</file>